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h2nfdj3k58pj" w:id="0"/>
      <w:bookmarkEnd w:id="0"/>
      <w:r w:rsidDel="00000000" w:rsidR="00000000" w:rsidRPr="00000000">
        <w:rPr>
          <w:rtl w:val="0"/>
        </w:rPr>
        <w:t xml:space="preserve">UAT Benchmark and Evaluation Template</w:t>
      </w:r>
    </w:p>
    <w:p w:rsidR="00000000" w:rsidDel="00000000" w:rsidP="00000000" w:rsidRDefault="00000000" w:rsidRPr="00000000" w14:paraId="00000002">
      <w:pPr>
        <w:rPr/>
      </w:pPr>
      <w:r w:rsidDel="00000000" w:rsidR="00000000" w:rsidRPr="00000000">
        <w:rPr>
          <w:rtl w:val="0"/>
        </w:rPr>
        <w:t xml:space="preserve">Project Title:</w:t>
      </w:r>
    </w:p>
    <w:p w:rsidR="00000000" w:rsidDel="00000000" w:rsidP="00000000" w:rsidRDefault="00000000" w:rsidRPr="00000000" w14:paraId="00000003">
      <w:pPr>
        <w:rPr/>
      </w:pPr>
      <w:r w:rsidDel="00000000" w:rsidR="00000000" w:rsidRPr="00000000">
        <w:rPr>
          <w:rtl w:val="0"/>
        </w:rPr>
        <w:t xml:space="preserve">Project Description:</w:t>
      </w:r>
    </w:p>
    <w:p w:rsidR="00000000" w:rsidDel="00000000" w:rsidP="00000000" w:rsidRDefault="00000000" w:rsidRPr="00000000" w14:paraId="00000004">
      <w:pPr>
        <w:rPr/>
      </w:pPr>
      <w:r w:rsidDel="00000000" w:rsidR="00000000" w:rsidRPr="00000000">
        <w:rPr>
          <w:rtl w:val="0"/>
        </w:rPr>
        <w:t xml:space="preserve">UAT Test Date:</w:t>
      </w:r>
    </w:p>
    <w:p w:rsidR="00000000" w:rsidDel="00000000" w:rsidP="00000000" w:rsidRDefault="00000000" w:rsidRPr="00000000" w14:paraId="00000005">
      <w:pPr>
        <w:rPr/>
      </w:pPr>
      <w:r w:rsidDel="00000000" w:rsidR="00000000" w:rsidRPr="00000000">
        <w:rPr>
          <w:rtl w:val="0"/>
        </w:rPr>
        <w:t xml:space="preserve">UAT Test Duration:</w:t>
      </w:r>
    </w:p>
    <w:p w:rsidR="00000000" w:rsidDel="00000000" w:rsidP="00000000" w:rsidRDefault="00000000" w:rsidRPr="00000000" w14:paraId="00000006">
      <w:pPr>
        <w:rPr/>
      </w:pPr>
      <w:r w:rsidDel="00000000" w:rsidR="00000000" w:rsidRPr="00000000">
        <w:rPr>
          <w:rtl w:val="0"/>
        </w:rPr>
        <w:t xml:space="preserve">UAT Test Participants:</w:t>
      </w:r>
    </w:p>
    <w:p w:rsidR="00000000" w:rsidDel="00000000" w:rsidP="00000000" w:rsidRDefault="00000000" w:rsidRPr="00000000" w14:paraId="00000007">
      <w:pPr>
        <w:rPr/>
      </w:pPr>
      <w:r w:rsidDel="00000000" w:rsidR="00000000" w:rsidRPr="00000000">
        <w:rPr>
          <w:rtl w:val="0"/>
        </w:rPr>
        <w:t xml:space="preserve">UAT Test Metrics: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bookmarkStart w:colFirst="0" w:colLast="0" w:name="_2vjcwworijj4" w:id="1"/>
      <w:bookmarkEnd w:id="1"/>
      <w:r w:rsidDel="00000000" w:rsidR="00000000" w:rsidRPr="00000000">
        <w:rPr>
          <w:rtl w:val="0"/>
        </w:rPr>
        <w:t xml:space="preserve">UAT Test Results</w:t>
      </w:r>
    </w:p>
    <w:tbl>
      <w:tblPr>
        <w:tblStyle w:val="Table1"/>
        <w:tblW w:w="10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10"/>
        <w:gridCol w:w="1670"/>
        <w:gridCol w:w="1880"/>
        <w:gridCol w:w="2360"/>
        <w:gridCol w:w="1790"/>
        <w:tblGridChange w:id="0">
          <w:tblGrid>
            <w:gridCol w:w="3110"/>
            <w:gridCol w:w="1670"/>
            <w:gridCol w:w="1880"/>
            <w:gridCol w:w="2360"/>
            <w:gridCol w:w="1790"/>
          </w:tblGrid>
        </w:tblGridChange>
      </w:tblGrid>
      <w:tr>
        <w:trPr>
          <w:cantSplit w:val="0"/>
          <w:trHeight w:val="695" w:hRule="atLeast"/>
          <w:tblHeader w:val="0"/>
        </w:trPr>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spacing w:line="240" w:lineRule="auto"/>
              <w:rPr/>
            </w:pPr>
            <w:r w:rsidDel="00000000" w:rsidR="00000000" w:rsidRPr="00000000">
              <w:rPr>
                <w:rtl w:val="0"/>
              </w:rPr>
              <w:t xml:space="preserve">Test Objective</w:t>
            </w:r>
          </w:p>
        </w:tc>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rPr/>
            </w:pPr>
            <w:r w:rsidDel="00000000" w:rsidR="00000000" w:rsidRPr="00000000">
              <w:rPr>
                <w:rtl w:val="0"/>
              </w:rPr>
              <w:t xml:space="preserve">Metric</w:t>
            </w:r>
          </w:p>
        </w:tc>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spacing w:line="240" w:lineRule="auto"/>
              <w:rPr/>
            </w:pPr>
            <w:r w:rsidDel="00000000" w:rsidR="00000000" w:rsidRPr="00000000">
              <w:rPr>
                <w:rtl w:val="0"/>
              </w:rPr>
              <w:t xml:space="preserve">Baseline</w:t>
            </w:r>
          </w:p>
        </w:tc>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spacing w:line="240" w:lineRule="auto"/>
              <w:rPr/>
            </w:pPr>
            <w:r w:rsidDel="00000000" w:rsidR="00000000" w:rsidRPr="00000000">
              <w:rPr>
                <w:rtl w:val="0"/>
              </w:rPr>
              <w:t xml:space="preserve">Actual Result</w:t>
            </w:r>
          </w:p>
        </w:tc>
        <w:tc>
          <w:tcPr>
            <w:tcBorders>
              <w:top w:color="d9d9e3" w:space="0" w:sz="4" w:val="single"/>
              <w:left w:color="d9d9e3" w:space="0" w:sz="4" w:val="single"/>
              <w:bottom w:color="d9d9e3" w:space="0" w:sz="4" w:val="single"/>
              <w:right w:color="d9d9e3" w:space="0" w:sz="4"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E">
            <w:pPr>
              <w:spacing w:line="240" w:lineRule="auto"/>
              <w:rPr/>
            </w:pPr>
            <w:r w:rsidDel="00000000" w:rsidR="00000000" w:rsidRPr="00000000">
              <w:rPr>
                <w:rtl w:val="0"/>
              </w:rPr>
              <w:t xml:space="preserve">Pass/Fail</w:t>
            </w:r>
          </w:p>
        </w:tc>
      </w:tr>
      <w:tr>
        <w:trPr>
          <w:cantSplit w:val="0"/>
          <w:trHeight w:val="695" w:hRule="atLeast"/>
          <w:tblHeader w:val="0"/>
        </w:trPr>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0F">
            <w:pPr>
              <w:spacing w:line="240" w:lineRule="auto"/>
              <w:rPr/>
            </w:pPr>
            <w:r w:rsidDel="00000000" w:rsidR="00000000" w:rsidRPr="00000000">
              <w:rPr>
                <w:rtl w:val="0"/>
              </w:rPr>
              <w:t xml:space="preserve">Example Objective 1</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0">
            <w:pPr>
              <w:spacing w:line="240" w:lineRule="auto"/>
              <w:rPr/>
            </w:pPr>
            <w:r w:rsidDel="00000000" w:rsidR="00000000" w:rsidRPr="00000000">
              <w:rPr>
                <w:rtl w:val="0"/>
              </w:rPr>
              <w:t xml:space="preserve">Metric 1</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1">
            <w:pPr>
              <w:spacing w:line="240" w:lineRule="auto"/>
              <w:rPr/>
            </w:pPr>
            <w:r w:rsidDel="00000000" w:rsidR="00000000" w:rsidRPr="00000000">
              <w:rPr>
                <w:rtl w:val="0"/>
              </w:rPr>
              <w:t xml:space="preserve">Baseline 1</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2">
            <w:pPr>
              <w:spacing w:line="240" w:lineRule="auto"/>
              <w:rPr/>
            </w:pPr>
            <w:r w:rsidDel="00000000" w:rsidR="00000000" w:rsidRPr="00000000">
              <w:rPr>
                <w:rtl w:val="0"/>
              </w:rPr>
              <w:t xml:space="preserve">Result 1</w:t>
            </w:r>
          </w:p>
        </w:tc>
        <w:tc>
          <w:tcPr>
            <w:tcBorders>
              <w:top w:color="000000" w:space="0" w:sz="0" w:val="nil"/>
              <w:left w:color="d9d9e3" w:space="0" w:sz="4" w:val="single"/>
              <w:bottom w:color="d9d9e3" w:space="0" w:sz="4" w:val="single"/>
              <w:right w:color="d9d9e3"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3">
            <w:pPr>
              <w:spacing w:line="240" w:lineRule="auto"/>
              <w:rPr/>
            </w:pPr>
            <w:r w:rsidDel="00000000" w:rsidR="00000000" w:rsidRPr="00000000">
              <w:rPr>
                <w:rtl w:val="0"/>
              </w:rPr>
              <w:t xml:space="preserve">Pass/Fail</w:t>
            </w:r>
          </w:p>
        </w:tc>
      </w:tr>
      <w:tr>
        <w:trPr>
          <w:cantSplit w:val="0"/>
          <w:trHeight w:val="695" w:hRule="atLeast"/>
          <w:tblHeader w:val="0"/>
        </w:trPr>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4">
            <w:pPr>
              <w:spacing w:line="240" w:lineRule="auto"/>
              <w:rPr/>
            </w:pPr>
            <w:r w:rsidDel="00000000" w:rsidR="00000000" w:rsidRPr="00000000">
              <w:rPr>
                <w:rtl w:val="0"/>
              </w:rPr>
              <w:t xml:space="preserve">Example Objective 2</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5">
            <w:pPr>
              <w:spacing w:line="240" w:lineRule="auto"/>
              <w:rPr/>
            </w:pPr>
            <w:r w:rsidDel="00000000" w:rsidR="00000000" w:rsidRPr="00000000">
              <w:rPr>
                <w:rtl w:val="0"/>
              </w:rPr>
              <w:t xml:space="preserve">Metric 2</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r w:rsidDel="00000000" w:rsidR="00000000" w:rsidRPr="00000000">
              <w:rPr>
                <w:rtl w:val="0"/>
              </w:rPr>
              <w:t xml:space="preserve">Baseline 2</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rPr/>
            </w:pPr>
            <w:r w:rsidDel="00000000" w:rsidR="00000000" w:rsidRPr="00000000">
              <w:rPr>
                <w:rtl w:val="0"/>
              </w:rPr>
              <w:t xml:space="preserve">Result 2</w:t>
            </w:r>
          </w:p>
        </w:tc>
        <w:tc>
          <w:tcPr>
            <w:tcBorders>
              <w:top w:color="000000" w:space="0" w:sz="0" w:val="nil"/>
              <w:left w:color="d9d9e3" w:space="0" w:sz="4" w:val="single"/>
              <w:bottom w:color="d9d9e3" w:space="0" w:sz="4" w:val="single"/>
              <w:right w:color="d9d9e3"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8">
            <w:pPr>
              <w:spacing w:line="240" w:lineRule="auto"/>
              <w:rPr/>
            </w:pPr>
            <w:r w:rsidDel="00000000" w:rsidR="00000000" w:rsidRPr="00000000">
              <w:rPr>
                <w:rtl w:val="0"/>
              </w:rPr>
              <w:t xml:space="preserve">Pass/Fail</w:t>
            </w:r>
          </w:p>
        </w:tc>
      </w:tr>
      <w:tr>
        <w:trPr>
          <w:cantSplit w:val="0"/>
          <w:trHeight w:val="695" w:hRule="atLeast"/>
          <w:tblHeader w:val="0"/>
        </w:trPr>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rPr/>
            </w:pPr>
            <w:r w:rsidDel="00000000" w:rsidR="00000000" w:rsidRPr="00000000">
              <w:rPr>
                <w:rtl w:val="0"/>
              </w:rPr>
              <w:t xml:space="preserve">Example Objective 3</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A">
            <w:pPr>
              <w:spacing w:line="240" w:lineRule="auto"/>
              <w:rPr/>
            </w:pPr>
            <w:r w:rsidDel="00000000" w:rsidR="00000000" w:rsidRPr="00000000">
              <w:rPr>
                <w:rtl w:val="0"/>
              </w:rPr>
              <w:t xml:space="preserve">Metric 3</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rPr/>
            </w:pPr>
            <w:r w:rsidDel="00000000" w:rsidR="00000000" w:rsidRPr="00000000">
              <w:rPr>
                <w:rtl w:val="0"/>
              </w:rPr>
              <w:t xml:space="preserve">Baseline 3</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C">
            <w:pPr>
              <w:spacing w:line="240" w:lineRule="auto"/>
              <w:rPr/>
            </w:pPr>
            <w:r w:rsidDel="00000000" w:rsidR="00000000" w:rsidRPr="00000000">
              <w:rPr>
                <w:rtl w:val="0"/>
              </w:rPr>
              <w:t xml:space="preserve">Result 3</w:t>
            </w:r>
          </w:p>
        </w:tc>
        <w:tc>
          <w:tcPr>
            <w:tcBorders>
              <w:top w:color="000000" w:space="0" w:sz="0" w:val="nil"/>
              <w:left w:color="d9d9e3" w:space="0" w:sz="4" w:val="single"/>
              <w:bottom w:color="d9d9e3" w:space="0" w:sz="4" w:val="single"/>
              <w:right w:color="d9d9e3"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rPr/>
            </w:pPr>
            <w:r w:rsidDel="00000000" w:rsidR="00000000" w:rsidRPr="00000000">
              <w:rPr>
                <w:rtl w:val="0"/>
              </w:rPr>
              <w:t xml:space="preserve">Pass/Fail</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bookmarkStart w:colFirst="0" w:colLast="0" w:name="_s6owk5o7qlvz" w:id="2"/>
      <w:bookmarkEnd w:id="2"/>
      <w:r w:rsidDel="00000000" w:rsidR="00000000" w:rsidRPr="00000000">
        <w:rPr>
          <w:rtl w:val="0"/>
        </w:rPr>
        <w:t xml:space="preserve">UAT Test Observations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fqkkhnwvginx" w:id="3"/>
      <w:bookmarkEnd w:id="3"/>
      <w:r w:rsidDel="00000000" w:rsidR="00000000" w:rsidRPr="00000000">
        <w:rPr>
          <w:rtl w:val="0"/>
        </w:rPr>
        <w:t xml:space="preserve">Summary of Findings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pPr>
      <w:bookmarkStart w:colFirst="0" w:colLast="0" w:name="_t455yq3gv2cw" w:id="4"/>
      <w:bookmarkEnd w:id="4"/>
      <w:r w:rsidDel="00000000" w:rsidR="00000000" w:rsidRPr="00000000">
        <w:rPr>
          <w:rtl w:val="0"/>
        </w:rPr>
        <w:t xml:space="preserve">Recommendations</w:t>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2"/>
        <w:rPr/>
      </w:pPr>
      <w:bookmarkStart w:colFirst="0" w:colLast="0" w:name="_62t5923u7s0l" w:id="5"/>
      <w:bookmarkEnd w:id="5"/>
      <w:r w:rsidDel="00000000" w:rsidR="00000000" w:rsidRPr="00000000">
        <w:rPr>
          <w:rtl w:val="0"/>
        </w:rPr>
        <w:t xml:space="preserve">UAT Benchmark and Evaluation Template</w:t>
      </w:r>
    </w:p>
    <w:p w:rsidR="00000000" w:rsidDel="00000000" w:rsidP="00000000" w:rsidRDefault="00000000" w:rsidRPr="00000000" w14:paraId="00000026">
      <w:pPr>
        <w:rPr/>
      </w:pPr>
      <w:r w:rsidDel="00000000" w:rsidR="00000000" w:rsidRPr="00000000">
        <w:rPr>
          <w:rtl w:val="0"/>
        </w:rPr>
        <w:t xml:space="preserve">Project Title: My Software App</w:t>
      </w:r>
    </w:p>
    <w:p w:rsidR="00000000" w:rsidDel="00000000" w:rsidP="00000000" w:rsidRDefault="00000000" w:rsidRPr="00000000" w14:paraId="00000027">
      <w:pPr>
        <w:rPr/>
      </w:pPr>
      <w:r w:rsidDel="00000000" w:rsidR="00000000" w:rsidRPr="00000000">
        <w:rPr>
          <w:rtl w:val="0"/>
        </w:rPr>
        <w:t xml:space="preserve">Project Description: A mobile app that allows users to track their fitness progress.</w:t>
      </w:r>
    </w:p>
    <w:p w:rsidR="00000000" w:rsidDel="00000000" w:rsidP="00000000" w:rsidRDefault="00000000" w:rsidRPr="00000000" w14:paraId="00000028">
      <w:pPr>
        <w:rPr/>
      </w:pPr>
      <w:r w:rsidDel="00000000" w:rsidR="00000000" w:rsidRPr="00000000">
        <w:rPr>
          <w:rtl w:val="0"/>
        </w:rPr>
        <w:t xml:space="preserve">UAT Test Date: January 1-10, 2023</w:t>
      </w:r>
    </w:p>
    <w:p w:rsidR="00000000" w:rsidDel="00000000" w:rsidP="00000000" w:rsidRDefault="00000000" w:rsidRPr="00000000" w14:paraId="00000029">
      <w:pPr>
        <w:rPr/>
      </w:pPr>
      <w:r w:rsidDel="00000000" w:rsidR="00000000" w:rsidRPr="00000000">
        <w:rPr>
          <w:rtl w:val="0"/>
        </w:rPr>
        <w:t xml:space="preserve">UAT Test Duration: 10 days</w:t>
      </w:r>
    </w:p>
    <w:p w:rsidR="00000000" w:rsidDel="00000000" w:rsidP="00000000" w:rsidRDefault="00000000" w:rsidRPr="00000000" w14:paraId="0000002A">
      <w:pPr>
        <w:rPr/>
      </w:pPr>
      <w:r w:rsidDel="00000000" w:rsidR="00000000" w:rsidRPr="00000000">
        <w:rPr>
          <w:rtl w:val="0"/>
        </w:rPr>
        <w:t xml:space="preserve">UAT Test Participants: 50 users</w:t>
      </w:r>
    </w:p>
    <w:p w:rsidR="00000000" w:rsidDel="00000000" w:rsidP="00000000" w:rsidRDefault="00000000" w:rsidRPr="00000000" w14:paraId="0000002B">
      <w:pPr>
        <w:rPr/>
      </w:pPr>
      <w:r w:rsidDel="00000000" w:rsidR="00000000" w:rsidRPr="00000000">
        <w:rPr>
          <w:rtl w:val="0"/>
        </w:rPr>
        <w:t xml:space="preserve">UAT Test Metrics: User satisfaction score, app speed (in seconds), number of bugs found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pPr>
      <w:bookmarkStart w:colFirst="0" w:colLast="0" w:name="_bcqcd9idnbqt" w:id="6"/>
      <w:bookmarkEnd w:id="6"/>
      <w:r w:rsidDel="00000000" w:rsidR="00000000" w:rsidRPr="00000000">
        <w:rPr>
          <w:rtl w:val="0"/>
        </w:rPr>
        <w:t xml:space="preserve">UAT Test Results</w:t>
      </w:r>
    </w:p>
    <w:tbl>
      <w:tblPr>
        <w:tblStyle w:val="Table2"/>
        <w:tblW w:w="10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10"/>
        <w:gridCol w:w="1670"/>
        <w:gridCol w:w="1880"/>
        <w:gridCol w:w="2360"/>
        <w:gridCol w:w="1790"/>
        <w:tblGridChange w:id="0">
          <w:tblGrid>
            <w:gridCol w:w="3110"/>
            <w:gridCol w:w="1670"/>
            <w:gridCol w:w="1880"/>
            <w:gridCol w:w="2360"/>
            <w:gridCol w:w="1790"/>
          </w:tblGrid>
        </w:tblGridChange>
      </w:tblGrid>
      <w:tr>
        <w:trPr>
          <w:cantSplit w:val="0"/>
          <w:trHeight w:val="695" w:hRule="atLeast"/>
          <w:tblHeader w:val="0"/>
        </w:trPr>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2E">
            <w:pPr>
              <w:spacing w:line="240" w:lineRule="auto"/>
              <w:rPr/>
            </w:pPr>
            <w:r w:rsidDel="00000000" w:rsidR="00000000" w:rsidRPr="00000000">
              <w:rPr>
                <w:rtl w:val="0"/>
              </w:rPr>
              <w:t xml:space="preserve">Test Objective</w:t>
            </w:r>
          </w:p>
        </w:tc>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2F">
            <w:pPr>
              <w:spacing w:line="240" w:lineRule="auto"/>
              <w:rPr/>
            </w:pPr>
            <w:r w:rsidDel="00000000" w:rsidR="00000000" w:rsidRPr="00000000">
              <w:rPr>
                <w:rtl w:val="0"/>
              </w:rPr>
              <w:t xml:space="preserve">Metric</w:t>
            </w:r>
          </w:p>
        </w:tc>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30">
            <w:pPr>
              <w:spacing w:line="240" w:lineRule="auto"/>
              <w:rPr/>
            </w:pPr>
            <w:r w:rsidDel="00000000" w:rsidR="00000000" w:rsidRPr="00000000">
              <w:rPr>
                <w:rtl w:val="0"/>
              </w:rPr>
              <w:t xml:space="preserve">Baseline</w:t>
            </w:r>
          </w:p>
        </w:tc>
        <w:tc>
          <w:tcPr>
            <w:tcBorders>
              <w:top w:color="d9d9e3" w:space="0" w:sz="4" w:val="single"/>
              <w:left w:color="d9d9e3" w:space="0" w:sz="4" w:val="single"/>
              <w:bottom w:color="d9d9e3" w:space="0" w:sz="4" w:val="single"/>
              <w:right w:color="000000" w:space="0" w:sz="0" w:val="nil"/>
            </w:tcBorders>
            <w:shd w:fill="d9d9d9" w:val="clear"/>
            <w:tcMar>
              <w:top w:w="100.0" w:type="dxa"/>
              <w:left w:w="100.0" w:type="dxa"/>
              <w:bottom w:w="100.0" w:type="dxa"/>
              <w:right w:w="100.0" w:type="dxa"/>
            </w:tcMar>
            <w:vAlign w:val="center"/>
          </w:tcPr>
          <w:p w:rsidR="00000000" w:rsidDel="00000000" w:rsidP="00000000" w:rsidRDefault="00000000" w:rsidRPr="00000000" w14:paraId="00000031">
            <w:pPr>
              <w:spacing w:line="240" w:lineRule="auto"/>
              <w:rPr/>
            </w:pPr>
            <w:r w:rsidDel="00000000" w:rsidR="00000000" w:rsidRPr="00000000">
              <w:rPr>
                <w:rtl w:val="0"/>
              </w:rPr>
              <w:t xml:space="preserve">Actual Result</w:t>
            </w:r>
          </w:p>
        </w:tc>
        <w:tc>
          <w:tcPr>
            <w:tcBorders>
              <w:top w:color="d9d9e3" w:space="0" w:sz="4" w:val="single"/>
              <w:left w:color="d9d9e3" w:space="0" w:sz="4" w:val="single"/>
              <w:bottom w:color="d9d9e3" w:space="0" w:sz="4" w:val="single"/>
              <w:right w:color="d9d9e3" w:space="0" w:sz="4"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2">
            <w:pPr>
              <w:spacing w:line="240" w:lineRule="auto"/>
              <w:rPr/>
            </w:pPr>
            <w:r w:rsidDel="00000000" w:rsidR="00000000" w:rsidRPr="00000000">
              <w:rPr>
                <w:rtl w:val="0"/>
              </w:rPr>
              <w:t xml:space="preserve">Pass/Fail</w:t>
            </w:r>
          </w:p>
        </w:tc>
      </w:tr>
      <w:tr>
        <w:trPr>
          <w:cantSplit w:val="0"/>
          <w:trHeight w:val="695" w:hRule="atLeast"/>
          <w:tblHeader w:val="0"/>
        </w:trPr>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3">
            <w:pPr>
              <w:spacing w:line="240" w:lineRule="auto"/>
              <w:rPr/>
            </w:pPr>
            <w:r w:rsidDel="00000000" w:rsidR="00000000" w:rsidRPr="00000000">
              <w:rPr>
                <w:rtl w:val="0"/>
              </w:rPr>
              <w:t xml:space="preserve">Usability</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4">
            <w:pPr>
              <w:spacing w:line="240" w:lineRule="auto"/>
              <w:rPr/>
            </w:pPr>
            <w:r w:rsidDel="00000000" w:rsidR="00000000" w:rsidRPr="00000000">
              <w:rPr>
                <w:rtl w:val="0"/>
              </w:rPr>
              <w:t xml:space="preserve">User satisfaction score</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5">
            <w:pPr>
              <w:spacing w:line="240" w:lineRule="auto"/>
              <w:rPr/>
            </w:pPr>
            <w:r w:rsidDel="00000000" w:rsidR="00000000" w:rsidRPr="00000000">
              <w:rPr>
                <w:rtl w:val="0"/>
              </w:rPr>
              <w:t xml:space="preserve">4.5</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6">
            <w:pPr>
              <w:spacing w:line="240" w:lineRule="auto"/>
              <w:rPr/>
            </w:pPr>
            <w:r w:rsidDel="00000000" w:rsidR="00000000" w:rsidRPr="00000000">
              <w:rPr>
                <w:rtl w:val="0"/>
              </w:rPr>
              <w:t xml:space="preserve">4.8</w:t>
            </w:r>
          </w:p>
        </w:tc>
        <w:tc>
          <w:tcPr>
            <w:tcBorders>
              <w:top w:color="000000" w:space="0" w:sz="0" w:val="nil"/>
              <w:left w:color="d9d9e3" w:space="0" w:sz="4" w:val="single"/>
              <w:bottom w:color="d9d9e3" w:space="0" w:sz="4" w:val="single"/>
              <w:right w:color="d9d9e3"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7">
            <w:pPr>
              <w:spacing w:line="240" w:lineRule="auto"/>
              <w:rPr/>
            </w:pPr>
            <w:r w:rsidDel="00000000" w:rsidR="00000000" w:rsidRPr="00000000">
              <w:rPr>
                <w:rtl w:val="0"/>
              </w:rPr>
              <w:t xml:space="preserve">Pass</w:t>
            </w:r>
          </w:p>
        </w:tc>
      </w:tr>
      <w:tr>
        <w:trPr>
          <w:cantSplit w:val="0"/>
          <w:trHeight w:val="695" w:hRule="atLeast"/>
          <w:tblHeader w:val="0"/>
        </w:trPr>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8">
            <w:pPr>
              <w:spacing w:line="240" w:lineRule="auto"/>
              <w:rPr/>
            </w:pPr>
            <w:r w:rsidDel="00000000" w:rsidR="00000000" w:rsidRPr="00000000">
              <w:rPr>
                <w:rtl w:val="0"/>
              </w:rPr>
              <w:t xml:space="preserve">Functionality</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9">
            <w:pPr>
              <w:spacing w:line="240" w:lineRule="auto"/>
              <w:rPr/>
            </w:pPr>
            <w:r w:rsidDel="00000000" w:rsidR="00000000" w:rsidRPr="00000000">
              <w:rPr>
                <w:rtl w:val="0"/>
              </w:rPr>
              <w:t xml:space="preserve">App speed (in seconds)</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A">
            <w:pPr>
              <w:spacing w:line="240" w:lineRule="auto"/>
              <w:rPr/>
            </w:pPr>
            <w:r w:rsidDel="00000000" w:rsidR="00000000" w:rsidRPr="00000000">
              <w:rPr>
                <w:rtl w:val="0"/>
              </w:rPr>
              <w:t xml:space="preserve">5</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B">
            <w:pPr>
              <w:spacing w:line="240" w:lineRule="auto"/>
              <w:rPr/>
            </w:pPr>
            <w:r w:rsidDel="00000000" w:rsidR="00000000" w:rsidRPr="00000000">
              <w:rPr>
                <w:rtl w:val="0"/>
              </w:rPr>
              <w:t xml:space="preserve">3</w:t>
            </w:r>
          </w:p>
        </w:tc>
        <w:tc>
          <w:tcPr>
            <w:tcBorders>
              <w:top w:color="000000" w:space="0" w:sz="0" w:val="nil"/>
              <w:left w:color="d9d9e3" w:space="0" w:sz="4" w:val="single"/>
              <w:bottom w:color="d9d9e3" w:space="0" w:sz="4" w:val="single"/>
              <w:right w:color="d9d9e3"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C">
            <w:pPr>
              <w:spacing w:line="240" w:lineRule="auto"/>
              <w:rPr/>
            </w:pPr>
            <w:r w:rsidDel="00000000" w:rsidR="00000000" w:rsidRPr="00000000">
              <w:rPr>
                <w:rtl w:val="0"/>
              </w:rPr>
              <w:t xml:space="preserve">Pass</w:t>
            </w:r>
          </w:p>
        </w:tc>
      </w:tr>
      <w:tr>
        <w:trPr>
          <w:cantSplit w:val="0"/>
          <w:trHeight w:val="695" w:hRule="atLeast"/>
          <w:tblHeader w:val="0"/>
        </w:trPr>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D">
            <w:pPr>
              <w:spacing w:line="240" w:lineRule="auto"/>
              <w:rPr/>
            </w:pPr>
            <w:r w:rsidDel="00000000" w:rsidR="00000000" w:rsidRPr="00000000">
              <w:rPr>
                <w:rtl w:val="0"/>
              </w:rPr>
              <w:t xml:space="preserve">Compatibility</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E">
            <w:pPr>
              <w:spacing w:line="240" w:lineRule="auto"/>
              <w:rPr/>
            </w:pPr>
            <w:r w:rsidDel="00000000" w:rsidR="00000000" w:rsidRPr="00000000">
              <w:rPr>
                <w:rtl w:val="0"/>
              </w:rPr>
              <w:t xml:space="preserve">Number of bugs found</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F">
            <w:pPr>
              <w:spacing w:line="240" w:lineRule="auto"/>
              <w:rPr/>
            </w:pPr>
            <w:r w:rsidDel="00000000" w:rsidR="00000000" w:rsidRPr="00000000">
              <w:rPr>
                <w:rtl w:val="0"/>
              </w:rPr>
              <w:t xml:space="preserve">10</w:t>
            </w:r>
          </w:p>
        </w:tc>
        <w:tc>
          <w:tcPr>
            <w:tcBorders>
              <w:top w:color="000000" w:space="0" w:sz="0" w:val="nil"/>
              <w:left w:color="d9d9e3" w:space="0" w:sz="4" w:val="single"/>
              <w:bottom w:color="d9d9e3"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40">
            <w:pPr>
              <w:spacing w:line="240" w:lineRule="auto"/>
              <w:rPr/>
            </w:pPr>
            <w:r w:rsidDel="00000000" w:rsidR="00000000" w:rsidRPr="00000000">
              <w:rPr>
                <w:rtl w:val="0"/>
              </w:rPr>
              <w:t xml:space="preserve">5</w:t>
            </w:r>
          </w:p>
        </w:tc>
        <w:tc>
          <w:tcPr>
            <w:tcBorders>
              <w:top w:color="000000" w:space="0" w:sz="0" w:val="nil"/>
              <w:left w:color="d9d9e3" w:space="0" w:sz="4" w:val="single"/>
              <w:bottom w:color="d9d9e3" w:space="0" w:sz="4" w:val="single"/>
              <w:right w:color="d9d9e3"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1">
            <w:pPr>
              <w:spacing w:line="240" w:lineRule="auto"/>
              <w:rPr/>
            </w:pPr>
            <w:r w:rsidDel="00000000" w:rsidR="00000000" w:rsidRPr="00000000">
              <w:rPr>
                <w:rtl w:val="0"/>
              </w:rPr>
              <w:t xml:space="preserve">Pass</w:t>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fc4kjiu5txwn" w:id="7"/>
      <w:bookmarkEnd w:id="7"/>
      <w:r w:rsidDel="00000000" w:rsidR="00000000" w:rsidRPr="00000000">
        <w:rPr>
          <w:rtl w:val="0"/>
        </w:rPr>
        <w:t xml:space="preserve">UAT Test Observations</w:t>
      </w:r>
    </w:p>
    <w:p w:rsidR="00000000" w:rsidDel="00000000" w:rsidP="00000000" w:rsidRDefault="00000000" w:rsidRPr="00000000" w14:paraId="00000044">
      <w:pPr>
        <w:rPr/>
      </w:pPr>
      <w:r w:rsidDel="00000000" w:rsidR="00000000" w:rsidRPr="00000000">
        <w:rPr>
          <w:rtl w:val="0"/>
        </w:rPr>
        <w:t xml:space="preserve">Users reported that the app was easy to use and had a lot of helpful features. A few minor bugs were found during testing but were quickly fixed by the development team.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bookmarkStart w:colFirst="0" w:colLast="0" w:name="_c4xii71jvmoq" w:id="8"/>
      <w:bookmarkEnd w:id="8"/>
      <w:r w:rsidDel="00000000" w:rsidR="00000000" w:rsidRPr="00000000">
        <w:rPr>
          <w:rtl w:val="0"/>
        </w:rPr>
        <w:t xml:space="preserve">Summary of Findings</w:t>
      </w:r>
    </w:p>
    <w:p w:rsidR="00000000" w:rsidDel="00000000" w:rsidP="00000000" w:rsidRDefault="00000000" w:rsidRPr="00000000" w14:paraId="00000047">
      <w:pPr>
        <w:rPr/>
      </w:pPr>
      <w:r w:rsidDel="00000000" w:rsidR="00000000" w:rsidRPr="00000000">
        <w:rPr>
          <w:rtl w:val="0"/>
        </w:rPr>
        <w:t xml:space="preserve">Overall, the UAT results were positive, with users expressing high levels of satisfaction with the app's usability and functionality.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rPr/>
      </w:pPr>
      <w:bookmarkStart w:colFirst="0" w:colLast="0" w:name="_jv1vjavbsx9v" w:id="9"/>
      <w:bookmarkEnd w:id="9"/>
      <w:r w:rsidDel="00000000" w:rsidR="00000000" w:rsidRPr="00000000">
        <w:rPr>
          <w:rtl w:val="0"/>
        </w:rPr>
        <w:t xml:space="preserve">Recommendations</w:t>
      </w:r>
    </w:p>
    <w:p w:rsidR="00000000" w:rsidDel="00000000" w:rsidP="00000000" w:rsidRDefault="00000000" w:rsidRPr="00000000" w14:paraId="0000004A">
      <w:pPr>
        <w:rPr/>
      </w:pPr>
      <w:r w:rsidDel="00000000" w:rsidR="00000000" w:rsidRPr="00000000">
        <w:rPr>
          <w:rtl w:val="0"/>
        </w:rPr>
        <w:t xml:space="preserve">Based on the UAT results, we recommend that the development team continue to monitor the app's performance and address any future bugs that are identified. We also recommend that additional features be added to the app in future updates to further enhance its functionality.</w:t>
      </w:r>
    </w:p>
    <w:p w:rsidR="00000000" w:rsidDel="00000000" w:rsidP="00000000" w:rsidRDefault="00000000" w:rsidRPr="00000000" w14:paraId="0000004B">
      <w:pPr>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color w:val="999999"/>
      </w:rPr>
    </w:pPr>
    <w:hyperlink r:id="rId1">
      <w:r w:rsidDel="00000000" w:rsidR="00000000" w:rsidRPr="00000000">
        <w:rPr>
          <w:color w:val="999999"/>
          <w:u w:val="single"/>
          <w:rtl w:val="0"/>
        </w:rPr>
        <w:t xml:space="preserve">www.centercode.com</w:t>
      </w:r>
    </w:hyperlink>
    <w:r w:rsidDel="00000000" w:rsidR="00000000" w:rsidRPr="00000000">
      <w:rPr>
        <w:color w:val="999999"/>
        <w:rtl w:val="0"/>
      </w:rPr>
      <w:t xml:space="preserve"> | UAT Templates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4"/>
        <w:szCs w:val="24"/>
        <w:lang w:val="en"/>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line="240" w:lineRule="auto"/>
    </w:pPr>
    <w:rPr>
      <w:rFonts w:ascii="Poppins" w:cs="Poppins" w:eastAsia="Poppins" w:hAnsi="Poppins"/>
      <w:sz w:val="36"/>
      <w:szCs w:val="36"/>
    </w:rPr>
  </w:style>
  <w:style w:type="paragraph" w:styleId="Heading2">
    <w:name w:val="heading 2"/>
    <w:basedOn w:val="Normal"/>
    <w:next w:val="Normal"/>
    <w:pPr>
      <w:spacing w:after="40" w:line="240" w:lineRule="auto"/>
    </w:pPr>
    <w:rPr>
      <w:rFonts w:ascii="Poppins" w:cs="Poppins" w:eastAsia="Poppins" w:hAnsi="Poppins"/>
      <w:sz w:val="36"/>
      <w:szCs w:val="36"/>
    </w:rPr>
  </w:style>
  <w:style w:type="paragraph" w:styleId="Heading3">
    <w:name w:val="heading 3"/>
    <w:basedOn w:val="Normal"/>
    <w:next w:val="Normal"/>
    <w:pPr>
      <w:pageBreakBefore w:val="0"/>
      <w:spacing w:after="100" w:line="240" w:lineRule="auto"/>
    </w:pPr>
    <w:rPr>
      <w:b w:val="1"/>
      <w:sz w:val="20"/>
      <w:szCs w:val="20"/>
    </w:rPr>
  </w:style>
  <w:style w:type="paragraph" w:styleId="Heading4">
    <w:name w:val="heading 4"/>
    <w:basedOn w:val="Normal"/>
    <w:next w:val="Normal"/>
    <w:pPr>
      <w:pageBreakBefore w:val="0"/>
      <w:spacing w:after="60" w:line="240" w:lineRule="auto"/>
    </w:pPr>
    <w:rPr>
      <w:b w:val="1"/>
      <w:color w:val="ff0000"/>
      <w:sz w:val="22"/>
      <w:szCs w:val="22"/>
    </w:rPr>
  </w:style>
  <w:style w:type="paragraph" w:styleId="Heading5">
    <w:name w:val="heading 5"/>
    <w:basedOn w:val="Normal"/>
    <w:next w:val="Normal"/>
    <w:pPr>
      <w:pageBreakBefore w:val="0"/>
      <w:spacing w:after="20" w:lineRule="auto"/>
    </w:pPr>
    <w:rPr>
      <w:b w:val="1"/>
      <w:sz w:val="24"/>
      <w:szCs w:val="24"/>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pageBreakBefore w:val="0"/>
      <w:spacing w:after="160" w:lineRule="auto"/>
    </w:pPr>
    <w:rPr/>
  </w:style>
  <w:style w:type="table" w:styleId="Table1">
    <w:basedOn w:val="TableNormal"/>
    <w:tblPr>
      <w:tblStyleRowBandSize w:val="1"/>
      <w:tblStyleColBandSize w:val="1"/>
      <w:tblCellMar>
        <w:top w:w="100.0" w:type="dxa"/>
        <w:left w:w="100.0" w:type="dxa"/>
        <w:bottom w:w="100.0" w:type="dxa"/>
        <w:right w:w="100.0" w:type="dxa"/>
      </w:tblCellMar>
    </w:tblPr>
    <w:tcPr>
      <w:shd w:fill="444654"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444654"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enter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